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86MS0079-01-2024-007535-71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05-0962/2615/2024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Кочурина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«ПЕРВАЯ МЕДИЦИНСКАЯ ЛАБОРАТОРИЯ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Кочурин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 в установленный законом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применяем у</w:t>
      </w:r>
      <w:r>
        <w:rPr>
          <w:rFonts w:ascii="Times New Roman" w:eastAsia="Times New Roman" w:hAnsi="Times New Roman" w:cs="Times New Roman"/>
          <w:sz w:val="26"/>
          <w:szCs w:val="26"/>
        </w:rPr>
        <w:t>прощенной сист</w:t>
      </w:r>
      <w:r>
        <w:rPr>
          <w:rFonts w:ascii="Times New Roman" w:eastAsia="Times New Roman" w:hAnsi="Times New Roman" w:cs="Times New Roman"/>
          <w:sz w:val="26"/>
          <w:szCs w:val="26"/>
        </w:rPr>
        <w:t>еме налогообложения за 2023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РФ, п. 1 ст. 346.23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26.03.2024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Кочурин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346.23 НК РФ По итогам </w:t>
      </w:r>
      <w:hyperlink r:id="rId4" w:anchor="dst10368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 представляют </w:t>
      </w:r>
      <w:hyperlink r:id="rId5" w:anchor="dst100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организации - не позднее 25 марта года, следующего за истекшим налоговым периодом (за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Кочурина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Кочурина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Кочурина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Е.С.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Кочурина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0rplc-35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  <w:jc w:val="both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5">
    <w:name w:val="cat-UserDefined grp-4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7513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yperlink" Target="https://www.consultant.ru/document/cons_doc_LAW_454134/051edffc72ec0bb6fb9c14a883b2ec4de75cfe8c/" TargetMode="External" /><Relationship Id="rId7" Type="http://schemas.openxmlformats.org/officeDocument/2006/relationships/hyperlink" Target="mailto:Surgut15@mirsud86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